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78B3F59A"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CA6C3A">
        <w:rPr>
          <w:b/>
          <w:noProof/>
          <w:sz w:val="24"/>
        </w:rPr>
        <w:t>5976</w:t>
      </w:r>
    </w:p>
    <w:p w14:paraId="57264299" w14:textId="1604A587" w:rsidR="00D92676" w:rsidRDefault="00D92676" w:rsidP="00D92676">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CA6C3A" w:rsidRPr="00CA6C3A">
        <w:rPr>
          <w:rFonts w:cs="Arial"/>
          <w:b/>
          <w:bCs/>
          <w:color w:val="0000FF"/>
        </w:rPr>
        <w:t>5746</w:t>
      </w:r>
      <w:r w:rsidR="00CA6C3A">
        <w:rPr>
          <w:rFonts w:cs="Arial"/>
          <w:b/>
          <w:bCs/>
          <w:color w:val="0000FF"/>
        </w:rPr>
        <w:t xml:space="preserve">, </w:t>
      </w:r>
      <w:r w:rsidR="00C0107E" w:rsidRPr="00C0107E">
        <w:rPr>
          <w:rFonts w:cs="Arial"/>
          <w:b/>
          <w:bCs/>
          <w:color w:val="0000FF"/>
        </w:rPr>
        <w:t>5500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0C6B29D" w:rsidR="0032532C" w:rsidRPr="00B220FA" w:rsidRDefault="00CA6C3A" w:rsidP="00EB7846">
            <w:pPr>
              <w:pStyle w:val="CRCoverPage"/>
              <w:spacing w:after="0"/>
              <w:jc w:val="center"/>
              <w:rPr>
                <w:rFonts w:eastAsiaTheme="minorEastAsia"/>
                <w:b/>
                <w:noProof/>
                <w:sz w:val="28"/>
                <w:lang w:eastAsia="zh-CN"/>
              </w:rPr>
            </w:pPr>
            <w:r>
              <w:rPr>
                <w:rFonts w:eastAsiaTheme="minorEastAsia"/>
                <w:b/>
                <w:noProof/>
                <w:sz w:val="28"/>
                <w:lang w:eastAsia="zh-CN"/>
              </w:rPr>
              <w:t>9</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6919415"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Huawei, Nokia</w:t>
            </w:r>
            <w:r w:rsidR="00C0107E">
              <w:rPr>
                <w:rFonts w:eastAsiaTheme="minorEastAsia"/>
                <w:lang w:eastAsia="zh-CN"/>
              </w:rPr>
              <w:t xml:space="preserve">, </w:t>
            </w:r>
            <w:proofErr w:type="gramStart"/>
            <w:r w:rsidR="00C0107E">
              <w:rPr>
                <w:rFonts w:eastAsiaTheme="minorEastAsia"/>
                <w:lang w:eastAsia="zh-CN"/>
              </w:rPr>
              <w:t>Vivo</w:t>
            </w:r>
            <w:proofErr w:type="gram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8BB34EE" w:rsidR="0032532C" w:rsidRDefault="00D92676" w:rsidP="008C2679">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C0107E">
              <w:rPr>
                <w:noProof/>
              </w:rPr>
              <w:t>22</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 xml:space="preserve">If the PDU Set QoS handling is applied in UL and/or DL, the NG-RAN uses the PDU Set QoS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DengXian" w:hAnsi="Arial"/>
                <w:lang w:eastAsia="en-GB"/>
              </w:rPr>
              <w:t>If the NG-RAN determines that only in one direction the GFBR, the PDB or the PER cannot be fulfilled, the NG-RAN shall indicate QoS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DengXian" w:hAnsi="Arial"/>
                <w:lang w:eastAsia="en-GB"/>
              </w:rPr>
              <w:t>NOTE 4:</w:t>
            </w:r>
            <w:r w:rsidRPr="00656FEB">
              <w:rPr>
                <w:rFonts w:ascii="Arial" w:eastAsia="DengXian" w:hAnsi="Arial"/>
                <w:lang w:eastAsia="en-GB"/>
              </w:rPr>
              <w:tab/>
              <w:t xml:space="preserve">The notification sent by the NG-RAN is always describing the current situation with respect to the fulfilment/unfulfillment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DengXian"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C77C3A0" w:rsidR="00DA32C4" w:rsidRPr="00C70A04" w:rsidRDefault="007F3934" w:rsidP="00790905">
            <w:pPr>
              <w:pStyle w:val="CRCoverPage"/>
              <w:spacing w:after="0"/>
              <w:ind w:left="100"/>
              <w:rPr>
                <w:rFonts w:eastAsiaTheme="minorEastAsia"/>
                <w:noProof/>
                <w:lang w:eastAsia="zh-CN"/>
              </w:rPr>
            </w:pPr>
            <w:r w:rsidRPr="009D60FF">
              <w:t>5.7.1.2a,</w:t>
            </w:r>
            <w:r>
              <w:rPr>
                <w:rFonts w:eastAsiaTheme="minorEastAsia" w:hint="eastAsia"/>
                <w:noProof/>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1B48B" w14:textId="294E2812" w:rsidR="00DA32C4" w:rsidRPr="009D60FF" w:rsidRDefault="00A92534" w:rsidP="00DA32C4">
            <w:pPr>
              <w:pStyle w:val="CRCoverPage"/>
              <w:spacing w:after="0"/>
              <w:ind w:left="100"/>
              <w:rPr>
                <w:noProof/>
              </w:rPr>
            </w:pPr>
            <w:r w:rsidRPr="009D60FF">
              <w:rPr>
                <w:noProof/>
              </w:rPr>
              <w:t xml:space="preserve">The CR is further revised to </w:t>
            </w:r>
            <w:r w:rsidR="009B099E" w:rsidRPr="009D60FF">
              <w:rPr>
                <w:noProof/>
              </w:rPr>
              <w:t xml:space="preserve">avoid duplications and a potential misalignment </w:t>
            </w:r>
            <w:r w:rsidRPr="009D60FF">
              <w:rPr>
                <w:noProof/>
              </w:rPr>
              <w:t xml:space="preserve">with the statement in clause </w:t>
            </w:r>
            <w:r w:rsidR="007F3934" w:rsidRPr="009D60FF">
              <w:rPr>
                <w:rFonts w:eastAsiaTheme="minorEastAsia" w:hint="eastAsia"/>
                <w:noProof/>
                <w:lang w:eastAsia="zh-CN"/>
              </w:rPr>
              <w:t>5</w:t>
            </w:r>
            <w:r w:rsidR="007F3934" w:rsidRPr="009D60FF">
              <w:rPr>
                <w:rFonts w:eastAsiaTheme="minorEastAsia"/>
                <w:noProof/>
                <w:lang w:eastAsia="zh-CN"/>
              </w:rPr>
              <w:t>.7.2.4.1</w:t>
            </w:r>
            <w:r w:rsidRPr="009D60FF">
              <w:rPr>
                <w:noProof/>
              </w:rPr>
              <w:t xml:space="preserve">. Furthermore, the </w:t>
            </w:r>
            <w:r w:rsidR="007F3934" w:rsidRPr="009D60FF">
              <w:rPr>
                <w:noProof/>
              </w:rPr>
              <w:t>description of the new situation is reworded to align with the wording used in other places.</w:t>
            </w:r>
          </w:p>
          <w:p w14:paraId="08246E88" w14:textId="4696CA03" w:rsidR="007F3934" w:rsidRDefault="007F3934" w:rsidP="00DA32C4">
            <w:pPr>
              <w:pStyle w:val="CRCoverPage"/>
              <w:spacing w:after="0"/>
              <w:ind w:left="100"/>
              <w:rPr>
                <w:noProof/>
              </w:rPr>
            </w:pPr>
            <w:r w:rsidRPr="009D60FF">
              <w:rPr>
                <w:noProof/>
              </w:rPr>
              <w:t>In addition, the PDU Set QoS parameter related statement in clause 5.7.1.2a is restructured (by moving the condition to the beginning) to improve the readability.</w:t>
            </w: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B0AD432" w14:textId="77777777" w:rsidR="007F3934" w:rsidRPr="003964A6" w:rsidRDefault="007F3934" w:rsidP="007F3934">
      <w:pPr>
        <w:pStyle w:val="Heading4"/>
      </w:pPr>
      <w:bookmarkStart w:id="15" w:name="_CR5_7_2_4_1"/>
      <w:bookmarkStart w:id="16" w:name="_CR5_7_2_4_1a"/>
      <w:bookmarkStart w:id="17" w:name="_Toc20149794"/>
      <w:bookmarkStart w:id="18" w:name="_Toc27846586"/>
      <w:bookmarkStart w:id="19" w:name="_Toc36187712"/>
      <w:bookmarkStart w:id="20" w:name="_Toc45183616"/>
      <w:bookmarkStart w:id="21" w:name="_Toc47342458"/>
      <w:bookmarkStart w:id="22" w:name="_Toc51769158"/>
      <w:bookmarkStart w:id="23" w:name="_Toc193777543"/>
      <w:bookmarkStart w:id="24" w:name="_Toc27846599"/>
      <w:bookmarkStart w:id="25" w:name="_Toc36187725"/>
      <w:bookmarkStart w:id="26" w:name="_Toc45183629"/>
      <w:bookmarkStart w:id="27" w:name="_Toc47342471"/>
      <w:bookmarkStart w:id="28" w:name="_Toc51769171"/>
      <w:bookmarkStart w:id="29" w:name="_Toc193777558"/>
      <w:bookmarkStart w:id="30" w:name="_Toc36187726"/>
      <w:bookmarkStart w:id="31" w:name="_Toc45183630"/>
      <w:bookmarkStart w:id="32" w:name="_Toc47342472"/>
      <w:bookmarkStart w:id="33" w:name="_Toc51769172"/>
      <w:bookmarkStart w:id="34"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964A6">
        <w:t>5.7.1.2a</w:t>
      </w:r>
      <w:r w:rsidRPr="003964A6">
        <w:tab/>
        <w:t>Alternative QoS Profile</w:t>
      </w:r>
      <w:bookmarkEnd w:id="17"/>
      <w:bookmarkEnd w:id="18"/>
      <w:bookmarkEnd w:id="19"/>
      <w:bookmarkEnd w:id="20"/>
      <w:bookmarkEnd w:id="21"/>
      <w:bookmarkEnd w:id="22"/>
      <w:bookmarkEnd w:id="23"/>
    </w:p>
    <w:p w14:paraId="597B5230" w14:textId="77777777" w:rsidR="007F3934" w:rsidRPr="003964A6" w:rsidRDefault="007F3934" w:rsidP="007F3934">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6B0CD4F9" w14:textId="77777777" w:rsidR="007F3934" w:rsidRPr="003964A6" w:rsidRDefault="007F3934" w:rsidP="007F3934">
      <w:pPr>
        <w:rPr>
          <w:lang w:eastAsia="x-none"/>
        </w:rPr>
      </w:pPr>
      <w:r w:rsidRPr="009D60FF">
        <w:rPr>
          <w:lang w:eastAsia="x-none"/>
        </w:rPr>
        <w:t xml:space="preserve">An Alternative QoS Profile represents a combination of QoS parameters PDB, PER, Averaging Window and GFBR to which the application traffic is able to adapt. </w:t>
      </w:r>
      <w:ins w:id="35" w:author="Huawei" w:date="2025-03-28T17:12:00Z">
        <w:r w:rsidRPr="009D60FF">
          <w:rPr>
            <w:lang w:eastAsia="x-none"/>
          </w:rPr>
          <w:t>If the QoS Profile contains PDU Set QoS parameters PSDB and PSER in UL and/or DL (described in clause 5.7.7)</w:t>
        </w:r>
      </w:ins>
      <w:ins w:id="36" w:author="Huawei" w:date="2025-03-28T17:13:00Z">
        <w:r w:rsidRPr="009D60FF">
          <w:rPr>
            <w:lang w:eastAsia="x-none"/>
          </w:rPr>
          <w:t xml:space="preserve">, </w:t>
        </w:r>
      </w:ins>
      <w:del w:id="37" w:author="Huawei" w:date="2025-03-28T17:13:00Z">
        <w:r w:rsidRPr="009D60FF" w:rsidDel="00BB781F">
          <w:rPr>
            <w:lang w:eastAsia="x-none"/>
          </w:rPr>
          <w:delText>T</w:delText>
        </w:r>
      </w:del>
      <w:ins w:id="38" w:author="Huawei" w:date="2025-03-28T17:13:00Z">
        <w:r w:rsidRPr="009D60FF">
          <w:rPr>
            <w:lang w:eastAsia="x-none"/>
          </w:rPr>
          <w:t>t</w:t>
        </w:r>
      </w:ins>
      <w:r w:rsidRPr="009D60FF">
        <w:rPr>
          <w:lang w:eastAsia="x-none"/>
        </w:rPr>
        <w:t>he Alternative QoS Profile(s) shall also contain the PDU Set QoS parameters PSDB and PSER in the respective direction(s)</w:t>
      </w:r>
      <w:del w:id="39" w:author="Huawei" w:date="2025-03-28T17:12:00Z">
        <w:r w:rsidRPr="009D60FF" w:rsidDel="00BB781F">
          <w:rPr>
            <w:lang w:eastAsia="x-none"/>
          </w:rPr>
          <w:delText xml:space="preserve"> when the QoS Profile contains PDU Set QoS parameters PSDB and PSER in UL and/or DL as described in clause 5.7.7</w:delText>
        </w:r>
      </w:del>
      <w:r w:rsidRPr="009D60FF">
        <w:rPr>
          <w:lang w:eastAsia="x-none"/>
        </w:rPr>
        <w:t>; otherwise, the corresponding Alternative QoS Profile(s) shall not contain the PDU Set QoS parameters PSDB and PSER.</w:t>
      </w:r>
    </w:p>
    <w:p w14:paraId="665356FB" w14:textId="77777777" w:rsidR="007F3934" w:rsidRPr="003964A6" w:rsidRDefault="007F3934" w:rsidP="007F3934">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263CC536" w14:textId="77777777" w:rsidR="007F3934" w:rsidRPr="003964A6" w:rsidRDefault="007F3934" w:rsidP="007F3934">
      <w:pPr>
        <w:rPr>
          <w:lang w:eastAsia="x-none"/>
        </w:rPr>
      </w:pPr>
      <w:r w:rsidRPr="003964A6">
        <w:rPr>
          <w:lang w:eastAsia="x-none"/>
        </w:rPr>
        <w:t>For a GBR QoS Flow using the Delay-critical resource type, an Alternative QoS Profile may also include the QoS parameter MDBV.</w:t>
      </w:r>
    </w:p>
    <w:p w14:paraId="04665CEC" w14:textId="77777777" w:rsidR="007F3934" w:rsidRPr="003964A6" w:rsidRDefault="007F3934" w:rsidP="007F3934">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60774F7" w14:textId="77777777" w:rsidR="007F3934" w:rsidRPr="003964A6" w:rsidRDefault="007F3934" w:rsidP="007F3934">
      <w:pPr>
        <w:pStyle w:val="NO"/>
      </w:pPr>
      <w:r w:rsidRPr="003964A6">
        <w:t>NOTE 2:</w:t>
      </w:r>
      <w:r w:rsidRPr="003964A6">
        <w:tab/>
        <w:t>For the NG-RAN behaviour related to the mandatory QoS parameters in the Alternative QoS Profile (</w:t>
      </w:r>
      <w:proofErr w:type="gramStart"/>
      <w:r w:rsidRPr="003964A6">
        <w:t>i.e.</w:t>
      </w:r>
      <w:proofErr w:type="gramEnd"/>
      <w:r w:rsidRPr="003964A6">
        <w:t xml:space="preserve"> GFBR, PDB, PER), see clause 5.7.2.4.</w:t>
      </w:r>
    </w:p>
    <w:p w14:paraId="471F2084" w14:textId="77777777" w:rsidR="007F3934" w:rsidRPr="003964A6" w:rsidRDefault="007F3934" w:rsidP="007F3934">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102F3A4D" w14:textId="77777777" w:rsidR="007F3934" w:rsidRPr="003964A6" w:rsidRDefault="007F3934" w:rsidP="007F3934">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6A707166" w14:textId="2EF2EAAF" w:rsidR="007F3934" w:rsidRDefault="007F3934" w:rsidP="007F39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bookmarkEnd w:id="24"/>
    <w:bookmarkEnd w:id="25"/>
    <w:bookmarkEnd w:id="26"/>
    <w:bookmarkEnd w:id="27"/>
    <w:bookmarkEnd w:id="28"/>
    <w:bookmarkEnd w:id="29"/>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077D96">
        <w:rPr>
          <w:rFonts w:ascii="Arial" w:eastAsia="DengXian" w:hAnsi="Arial"/>
          <w:sz w:val="22"/>
          <w:lang w:eastAsia="en-GB"/>
        </w:rPr>
        <w:t>5.7.2.4.1a</w:t>
      </w:r>
      <w:r w:rsidRPr="00077D96">
        <w:rPr>
          <w:rFonts w:ascii="Arial" w:eastAsia="DengXian" w:hAnsi="Arial"/>
          <w:sz w:val="22"/>
          <w:lang w:eastAsia="en-GB"/>
        </w:rPr>
        <w:tab/>
        <w:t>Notification Control without Alternative QoS Profiles</w:t>
      </w:r>
      <w:bookmarkEnd w:id="30"/>
      <w:bookmarkEnd w:id="31"/>
      <w:bookmarkEnd w:id="32"/>
      <w:bookmarkEnd w:id="33"/>
      <w:bookmarkEnd w:id="34"/>
    </w:p>
    <w:p w14:paraId="40B52C0C"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If, for a given GBR QoS Flow, Notification control is enabled and the NG-RAN determines that </w:t>
      </w:r>
      <w:r w:rsidRPr="00077D96">
        <w:rPr>
          <w:rFonts w:eastAsia="DengXian"/>
          <w:lang w:eastAsia="zh-CN"/>
        </w:rPr>
        <w:t>the GFBR, the PDB or the PER of the QoS profile cannot be fulfilled</w:t>
      </w:r>
      <w:r w:rsidRPr="00077D96">
        <w:rPr>
          <w:rFonts w:eastAsia="DengXian"/>
          <w:lang w:eastAsia="en-GB"/>
        </w:rPr>
        <w:t>, NG-RAN shall send a notification towards SMF that the "GFBR can no longer be guaranteed". Furthermore, the NG-RAN shall keep the QoS Flow (</w:t>
      </w:r>
      <w:proofErr w:type="gramStart"/>
      <w:r w:rsidRPr="00077D96">
        <w:rPr>
          <w:rFonts w:eastAsia="DengXian"/>
          <w:lang w:eastAsia="en-GB"/>
        </w:rPr>
        <w:t>i.e.</w:t>
      </w:r>
      <w:proofErr w:type="gramEnd"/>
      <w:r w:rsidRPr="00077D96">
        <w:rPr>
          <w:rFonts w:eastAsia="DengXian"/>
          <w:lang w:eastAsia="en-GB"/>
        </w:rP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077D96">
        <w:rPr>
          <w:rFonts w:eastAsia="DengXian"/>
          <w:lang w:eastAsia="zh-CN"/>
        </w:rPr>
        <w:t>GFBR, the PDB and the PER of the QoS profile again</w:t>
      </w:r>
      <w:r w:rsidRPr="00077D96">
        <w:rPr>
          <w:rFonts w:eastAsia="DengXian"/>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1:</w:t>
      </w:r>
      <w:r w:rsidRPr="00077D96">
        <w:rPr>
          <w:rFonts w:eastAsia="DengXian"/>
          <w:lang w:eastAsia="en-GB"/>
        </w:rPr>
        <w:tab/>
        <w:t xml:space="preserve">NG-RAN can decide that the "GFBR can no longer be guaranteed" based on, </w:t>
      </w:r>
      <w:proofErr w:type="gramStart"/>
      <w:r w:rsidRPr="00077D96">
        <w:rPr>
          <w:rFonts w:eastAsia="DengXian"/>
          <w:lang w:eastAsia="en-GB"/>
        </w:rPr>
        <w:t>e.g.</w:t>
      </w:r>
      <w:proofErr w:type="gramEnd"/>
      <w:r w:rsidRPr="00077D96">
        <w:rPr>
          <w:rFonts w:eastAsia="DengXian"/>
          <w:lang w:eastAsia="en-GB"/>
        </w:rPr>
        <w:t xml:space="preserve">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When the NG-RAN determines that </w:t>
      </w:r>
      <w:r w:rsidRPr="00077D96">
        <w:rPr>
          <w:rFonts w:eastAsia="DengXian"/>
          <w:lang w:eastAsia="zh-CN"/>
        </w:rPr>
        <w:t>the GFBR, the PDB and the PER of the QoS profile</w:t>
      </w:r>
      <w:r w:rsidRPr="00077D96">
        <w:rPr>
          <w:rFonts w:eastAsia="DengXian"/>
          <w:lang w:eastAsia="en-GB"/>
        </w:rPr>
        <w:t xml:space="preserve"> can be fulfilled again for a QoS Flow (for which a notification that the "GFBR can no longer</w:t>
      </w:r>
      <w:r w:rsidRPr="00077D96" w:rsidDel="006D0ECC">
        <w:rPr>
          <w:rFonts w:eastAsia="DengXian"/>
          <w:lang w:eastAsia="en-GB"/>
        </w:rPr>
        <w:t xml:space="preserve"> </w:t>
      </w:r>
      <w:r w:rsidRPr="00077D96">
        <w:rPr>
          <w:rFonts w:eastAsia="DengXian"/>
          <w:lang w:eastAsia="en-GB"/>
        </w:rPr>
        <w:t>be guaranteed" has been sent), the NG-RAN shall send a notification, informing the SMF that the "</w:t>
      </w:r>
      <w:r w:rsidRPr="00077D96">
        <w:rPr>
          <w:rFonts w:eastAsia="DengXian"/>
          <w:lang w:eastAsia="zh-CN"/>
        </w:rPr>
        <w:t>GFBR</w:t>
      </w:r>
      <w:r w:rsidRPr="00077D96">
        <w:rPr>
          <w:rFonts w:eastAsia="DengXian"/>
          <w:lang w:eastAsia="en-GB"/>
        </w:rPr>
        <w:t xml:space="preserve"> can again be guaranteed" and the SMF may forward the </w:t>
      </w:r>
      <w:r w:rsidRPr="00077D96">
        <w:rPr>
          <w:rFonts w:eastAsia="DengXian"/>
          <w:lang w:eastAsia="en-GB"/>
        </w:rPr>
        <w:lastRenderedPageBreak/>
        <w:t>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2:</w:t>
      </w:r>
      <w:r w:rsidRPr="00077D96">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3:</w:t>
      </w:r>
      <w:r w:rsidRPr="00077D96">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DengXian"/>
          <w:lang w:eastAsia="en-GB"/>
        </w:rPr>
      </w:pPr>
      <w:bookmarkStart w:id="40" w:name="_Toc27846600"/>
      <w:r w:rsidRPr="00077D96">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077D96">
        <w:rPr>
          <w:rFonts w:eastAsia="DengXian"/>
          <w:lang w:eastAsia="en-GB"/>
        </w:rPr>
        <w:t>Nsmf_PDUSession_UpdateSMContext</w:t>
      </w:r>
      <w:proofErr w:type="spellEnd"/>
      <w:r w:rsidRPr="00077D96">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AABBBEB" w14:textId="18E8D7A2" w:rsidR="005F75F6" w:rsidRPr="009D60FF" w:rsidDel="005F75F6" w:rsidRDefault="00077D96" w:rsidP="00925758">
      <w:pPr>
        <w:overflowPunct w:val="0"/>
        <w:autoSpaceDE w:val="0"/>
        <w:autoSpaceDN w:val="0"/>
        <w:adjustRightInd w:val="0"/>
        <w:textAlignment w:val="baseline"/>
        <w:rPr>
          <w:del w:id="41" w:author="Huawei2" w:date="2025-05-07T17:35:00Z"/>
          <w:rFonts w:eastAsia="DengXian"/>
          <w:lang w:eastAsia="en-GB"/>
        </w:rPr>
      </w:pPr>
      <w:bookmarkStart w:id="42" w:name="_Toc36187727"/>
      <w:bookmarkStart w:id="43" w:name="_Toc45183631"/>
      <w:bookmarkStart w:id="44" w:name="_Toc47342473"/>
      <w:bookmarkStart w:id="45" w:name="_Toc51769173"/>
      <w:bookmarkStart w:id="46" w:name="_Toc185600736"/>
      <w:del w:id="47" w:author="Huawei3" w:date="2025-05-21T16:28:00Z">
        <w:r w:rsidRPr="009D60FF" w:rsidDel="00D42B60">
          <w:rPr>
            <w:rFonts w:eastAsia="DengXian"/>
            <w:lang w:eastAsia="en-GB"/>
          </w:rPr>
          <w:delText xml:space="preserve">If the PDU Set QoS handling is applied in UL and/or DL, </w:delText>
        </w:r>
      </w:del>
      <w:del w:id="48" w:author="Huawei2" w:date="2025-05-07T17:31:00Z">
        <w:r w:rsidRPr="009D60FF" w:rsidDel="005F75F6">
          <w:rPr>
            <w:rFonts w:eastAsia="DengXian"/>
            <w:lang w:eastAsia="en-GB"/>
          </w:rPr>
          <w:delText>the NG-RAN uses the PDU Set QoS parameters PSDB and PSER for UL and/or DL instead of PDB and PER in the respective direction(s) to determine whether "GFBR can no longer be guaranteed" or "GFBR can again be guaranteed".</w:delText>
        </w:r>
      </w:del>
    </w:p>
    <w:p w14:paraId="5B5442E1" w14:textId="3F028FD1" w:rsidR="008C2679" w:rsidRPr="009D60FF" w:rsidRDefault="00077D96" w:rsidP="00925758">
      <w:pPr>
        <w:overflowPunct w:val="0"/>
        <w:autoSpaceDE w:val="0"/>
        <w:autoSpaceDN w:val="0"/>
        <w:adjustRightInd w:val="0"/>
        <w:textAlignment w:val="baseline"/>
        <w:rPr>
          <w:ins w:id="49" w:author="vivo" w:date="2025-04-30T15:37:00Z"/>
        </w:rPr>
      </w:pPr>
      <w:r w:rsidRPr="009D60FF">
        <w:rPr>
          <w:rFonts w:eastAsia="DengXian"/>
          <w:lang w:eastAsia="en-GB"/>
        </w:rPr>
        <w:t xml:space="preserve">If the NG-RAN determines that </w:t>
      </w:r>
      <w:del w:id="50" w:author="Huawei" w:date="2025-04-17T17:41:00Z">
        <w:r w:rsidRPr="009D60FF" w:rsidDel="00A92534">
          <w:rPr>
            <w:rFonts w:eastAsia="DengXian"/>
            <w:lang w:eastAsia="en-GB"/>
          </w:rPr>
          <w:delText xml:space="preserve">only in one direction </w:delText>
        </w:r>
      </w:del>
      <w:r w:rsidRPr="009D60FF">
        <w:rPr>
          <w:rFonts w:eastAsia="DengXian"/>
          <w:lang w:eastAsia="en-GB"/>
        </w:rPr>
        <w:t>the GFBR, the PDB or the PER</w:t>
      </w:r>
      <w:r w:rsidR="00D42B60" w:rsidRPr="009D60FF">
        <w:rPr>
          <w:rFonts w:eastAsia="DengXian"/>
          <w:lang w:eastAsia="en-GB"/>
        </w:rPr>
        <w:t xml:space="preserve"> </w:t>
      </w:r>
      <w:r w:rsidRPr="009D60FF">
        <w:rPr>
          <w:rFonts w:eastAsia="DengXian"/>
          <w:lang w:eastAsia="en-GB"/>
        </w:rPr>
        <w:t>cannot be fulfilled</w:t>
      </w:r>
      <w:ins w:id="51" w:author="Huawei" w:date="2025-04-17T17:41:00Z">
        <w:r w:rsidR="00A92534" w:rsidRPr="009D60FF">
          <w:rPr>
            <w:rFonts w:eastAsia="DengXian"/>
            <w:lang w:eastAsia="en-GB"/>
          </w:rPr>
          <w:t xml:space="preserve"> in one direction only </w:t>
        </w:r>
      </w:ins>
      <w:ins w:id="52" w:author="Huawei" w:date="2025-04-17T17:42:00Z">
        <w:r w:rsidR="00A92534" w:rsidRPr="009D60FF">
          <w:rPr>
            <w:rFonts w:eastAsia="DengXian"/>
            <w:lang w:eastAsia="zh-CN"/>
          </w:rPr>
          <w:t xml:space="preserve">(while </w:t>
        </w:r>
      </w:ins>
      <w:ins w:id="53" w:author="Huawei4" w:date="2025-05-23T12:06:00Z">
        <w:r w:rsidR="00CA6C3A">
          <w:rPr>
            <w:rFonts w:eastAsia="DengXian"/>
            <w:lang w:eastAsia="zh-CN"/>
          </w:rPr>
          <w:t>all of them</w:t>
        </w:r>
      </w:ins>
      <w:ins w:id="54" w:author="Huawei3" w:date="2025-05-21T16:27:00Z">
        <w:r w:rsidR="00D42B60" w:rsidRPr="009D60FF">
          <w:rPr>
            <w:rFonts w:eastAsia="DengXian"/>
            <w:lang w:eastAsia="zh-CN"/>
          </w:rPr>
          <w:t xml:space="preserve"> </w:t>
        </w:r>
      </w:ins>
      <w:ins w:id="55" w:author="Huawei" w:date="2025-04-17T17:42:00Z">
        <w:r w:rsidR="00A92534" w:rsidRPr="009D60FF">
          <w:rPr>
            <w:rFonts w:eastAsia="DengXian"/>
            <w:lang w:eastAsia="zh-CN"/>
          </w:rPr>
          <w:t>can be fulfilled in the other direction)</w:t>
        </w:r>
      </w:ins>
      <w:r w:rsidRPr="009D60FF">
        <w:rPr>
          <w:rFonts w:eastAsia="DengXian"/>
          <w:lang w:eastAsia="en-GB"/>
        </w:rPr>
        <w:t xml:space="preserve">, the NG-RAN shall </w:t>
      </w:r>
      <w:ins w:id="56" w:author="Lazaros Gkatzikis Nokia" w:date="2025-04-10T13:31:00Z">
        <w:r w:rsidR="000861DE" w:rsidRPr="009D60FF">
          <w:rPr>
            <w:rFonts w:eastAsia="DengXian"/>
            <w:lang w:eastAsia="en-GB"/>
          </w:rPr>
          <w:t xml:space="preserve">also </w:t>
        </w:r>
      </w:ins>
      <w:r w:rsidRPr="009D60FF">
        <w:rPr>
          <w:rFonts w:eastAsia="DengXian"/>
          <w:lang w:eastAsia="en-GB"/>
        </w:rPr>
        <w:t xml:space="preserve">indicate </w:t>
      </w:r>
      <w:ins w:id="57" w:author="Lazaros Gkatzikis Nokia" w:date="2025-04-10T13:31:00Z">
        <w:r w:rsidR="000861DE" w:rsidRPr="009D60FF">
          <w:rPr>
            <w:rFonts w:eastAsia="DengXian"/>
            <w:lang w:eastAsia="en-GB"/>
          </w:rPr>
          <w:t xml:space="preserve">the impacted direction when notifying </w:t>
        </w:r>
      </w:ins>
      <w:r w:rsidRPr="009D60FF">
        <w:rPr>
          <w:rFonts w:eastAsia="DengXian"/>
          <w:lang w:eastAsia="en-GB"/>
        </w:rPr>
        <w:t>that "GFBR can no longer be guaranteed"</w:t>
      </w:r>
      <w:del w:id="58" w:author="Lazaros Gkatzikis Nokia" w:date="2025-04-10T13:31:00Z">
        <w:r w:rsidRPr="009D60FF" w:rsidDel="000861DE">
          <w:rPr>
            <w:rFonts w:eastAsia="DengXian"/>
            <w:lang w:eastAsia="en-GB"/>
          </w:rPr>
          <w:delText xml:space="preserve"> together with the corresponding direction</w:delText>
        </w:r>
      </w:del>
      <w:r w:rsidRPr="009D60FF">
        <w:rPr>
          <w:rFonts w:eastAsia="DengXian"/>
          <w:lang w:eastAsia="en-GB"/>
        </w:rPr>
        <w:t>.</w:t>
      </w:r>
      <w:ins w:id="59" w:author="Chunshan Xiong - CATT-168" w:date="2025-03-25T17:27:00Z">
        <w:r w:rsidR="00611678" w:rsidRPr="009D60FF">
          <w:rPr>
            <w:rFonts w:eastAsia="DengXian"/>
            <w:lang w:eastAsia="en-GB"/>
          </w:rPr>
          <w:t xml:space="preserve"> </w:t>
        </w:r>
      </w:ins>
      <w:bookmarkEnd w:id="40"/>
      <w:bookmarkEnd w:id="42"/>
      <w:bookmarkEnd w:id="43"/>
      <w:bookmarkEnd w:id="44"/>
      <w:bookmarkEnd w:id="45"/>
      <w:bookmarkEnd w:id="46"/>
      <w:ins w:id="60" w:author="Lazaros Gkatzikis Nokia" w:date="2025-04-10T13:27:00Z">
        <w:r w:rsidR="000861DE" w:rsidRPr="009D60FF">
          <w:t>In all other situations the NG-RAN shall not indicate a direction in the notification.</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3BCE" w14:textId="77777777" w:rsidR="00494DF4" w:rsidRDefault="00494DF4">
      <w:r>
        <w:separator/>
      </w:r>
    </w:p>
  </w:endnote>
  <w:endnote w:type="continuationSeparator" w:id="0">
    <w:p w14:paraId="0C2779BF" w14:textId="77777777" w:rsidR="00494DF4" w:rsidRDefault="00494DF4">
      <w:r>
        <w:continuationSeparator/>
      </w:r>
    </w:p>
  </w:endnote>
  <w:endnote w:type="continuationNotice" w:id="1">
    <w:p w14:paraId="0FFACE9E" w14:textId="77777777" w:rsidR="00494DF4" w:rsidRDefault="00494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31BF5" w14:textId="77777777" w:rsidR="00494DF4" w:rsidRDefault="00494DF4">
      <w:r>
        <w:separator/>
      </w:r>
    </w:p>
  </w:footnote>
  <w:footnote w:type="continuationSeparator" w:id="0">
    <w:p w14:paraId="53CBDC95" w14:textId="77777777" w:rsidR="00494DF4" w:rsidRDefault="00494DF4">
      <w:r>
        <w:continuationSeparator/>
      </w:r>
    </w:p>
  </w:footnote>
  <w:footnote w:type="continuationNotice" w:id="1">
    <w:p w14:paraId="1F28FC05" w14:textId="77777777" w:rsidR="00494DF4" w:rsidRDefault="00494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1676B"/>
    <w:multiLevelType w:val="hybridMultilevel"/>
    <w:tmpl w:val="45982D7C"/>
    <w:lvl w:ilvl="0" w:tplc="C972A2B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3"/>
  </w:num>
  <w:num w:numId="8">
    <w:abstractNumId w:val="25"/>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8"/>
  </w:num>
  <w:num w:numId="16">
    <w:abstractNumId w:val="35"/>
  </w:num>
  <w:num w:numId="17">
    <w:abstractNumId w:val="44"/>
  </w:num>
  <w:num w:numId="18">
    <w:abstractNumId w:val="38"/>
  </w:num>
  <w:num w:numId="19">
    <w:abstractNumId w:val="45"/>
  </w:num>
  <w:num w:numId="20">
    <w:abstractNumId w:val="22"/>
  </w:num>
  <w:num w:numId="21">
    <w:abstractNumId w:val="32"/>
  </w:num>
  <w:num w:numId="22">
    <w:abstractNumId w:val="34"/>
  </w:num>
  <w:num w:numId="23">
    <w:abstractNumId w:val="24"/>
  </w:num>
  <w:num w:numId="24">
    <w:abstractNumId w:val="29"/>
  </w:num>
  <w:num w:numId="25">
    <w:abstractNumId w:val="48"/>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vivo">
    <w15:presenceInfo w15:providerId="None" w15:userId="vivo"/>
  </w15:person>
  <w15:person w15:author="Huawei4">
    <w15:presenceInfo w15:providerId="None" w15:userId="Huawei4"/>
  </w15:person>
  <w15:person w15:author="Lazaros Gkatzikis Nokia">
    <w15:presenceInfo w15:providerId="None" w15:userId="Lazaros Gkatzikis Nokia "/>
  </w15:person>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2D04"/>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9515A"/>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406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4DF4"/>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038E"/>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36D"/>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0500"/>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16B4B"/>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9E"/>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60FF"/>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77F"/>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AE3"/>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139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107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2B6F"/>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C3A"/>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233F"/>
    <w:rsid w:val="00D33184"/>
    <w:rsid w:val="00D33A9F"/>
    <w:rsid w:val="00D33E67"/>
    <w:rsid w:val="00D34184"/>
    <w:rsid w:val="00D357C3"/>
    <w:rsid w:val="00D3638C"/>
    <w:rsid w:val="00D37A76"/>
    <w:rsid w:val="00D406BC"/>
    <w:rsid w:val="00D41783"/>
    <w:rsid w:val="00D42110"/>
    <w:rsid w:val="00D42B6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77571"/>
    <w:rsid w:val="00E808ED"/>
    <w:rsid w:val="00E80928"/>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13E7"/>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04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TableGrid">
    <w:name w:val="Table Grid"/>
    <w:basedOn w:val="TableNormal"/>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2AD5F-AFD3-436A-A9D3-6088B459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10278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Schramm</dc:creator>
  <cp:lastModifiedBy>Huawei4</cp:lastModifiedBy>
  <cp:revision>2</cp:revision>
  <cp:lastPrinted>1900-12-31T16:00:00Z</cp:lastPrinted>
  <dcterms:created xsi:type="dcterms:W3CDTF">2025-05-23T03:07:00Z</dcterms:created>
  <dcterms:modified xsi:type="dcterms:W3CDTF">2025-05-23T03:07:00Z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